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3r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978-84-7221-570-2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</w:t>
            </w:r>
            <w:r w:rsidDel="00000000" w:rsidR="00000000" w:rsidRPr="00000000">
              <w:rPr>
                <w:color w:val="000000"/>
                <w:rtl w:val="0"/>
              </w:rPr>
              <w:t xml:space="preserve">0€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Snappet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65,00 €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349,50€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3r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zsXVjbNskBcI1fOfY9HYika1w==">CgMxLjAyCWguMzBqMHpsbDgAciExTlZEc0RrdjUwUFJWc29yMXBXYktwc3ZTdVY1M2dHU2U=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