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5">
      <w:pPr>
        <w:ind w:left="-142" w:right="-313"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right="-313"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2" w:right="-313" w:firstLine="14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2n ESO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978-84-7221-502-3</w:t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224,50</w:t>
            </w:r>
            <w:r w:rsidDel="00000000" w:rsidR="00000000" w:rsidRPr="00000000">
              <w:rPr>
                <w:color w:val="000000"/>
                <w:rtl w:val="0"/>
              </w:rPr>
              <w:t xml:space="preserve">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80</w:t>
            </w:r>
            <w:r w:rsidDel="00000000" w:rsidR="00000000" w:rsidRPr="00000000">
              <w:rPr>
                <w:color w:val="000000"/>
                <w:rtl w:val="0"/>
              </w:rPr>
              <w:t xml:space="preserve">,00 €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Llibres de lectura: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“La ratera d’Agatha Christie” de Edicions 62  ISBN </w:t>
            </w:r>
            <w:r w:rsidDel="00000000" w:rsidR="00000000" w:rsidRPr="00000000">
              <w:rPr>
                <w:rFonts w:ascii="Arial" w:cs="Arial" w:eastAsia="Arial" w:hAnsi="Arial"/>
                <w:color w:val="36373b"/>
                <w:sz w:val="20"/>
                <w:szCs w:val="20"/>
                <w:highlight w:val="white"/>
                <w:rtl w:val="0"/>
              </w:rPr>
              <w:t xml:space="preserve">978-84-15954-89-7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“Las Lágrimas de Shiva”</w:t>
            </w:r>
            <w:r w:rsidDel="00000000" w:rsidR="00000000" w:rsidRPr="00000000">
              <w:rPr>
                <w:rtl w:val="0"/>
              </w:rPr>
              <w:t xml:space="preserve"> de Edebé ISBN 978-84-236-7510-40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10,95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€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13,00</w:t>
            </w:r>
            <w:r w:rsidDel="00000000" w:rsidR="00000000" w:rsidRPr="00000000">
              <w:rPr>
                <w:rtl w:val="0"/>
              </w:rPr>
              <w:t xml:space="preserve"> 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c6d9f1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328,45 €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9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2n ESO                LLIBRERIA I MATERIAL CURS 202</w:t>
    </w:r>
    <w:r w:rsidDel="00000000" w:rsidR="00000000" w:rsidRPr="00000000">
      <w:rPr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TableNormal1" w:customStyle="1">
    <w:name w:val="Table Normal1"/>
    <w:rsid w:val="008A254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es-ES_tradnl" w:val="es-E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TpAdF4pIzKfbvydvnLq9yzWymw==">CgMxLjAyCWguMzBqMHpsbDgAciExdVgzczM4V1FKMXdMX1lEQlB3OExUYWR2akYyZXU3cF8=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2022-06-08T07:36:00Z</dcterms:created>
  <dc:creator>PC</dc:creator>
</cp:coreProperties>
</file>